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6D42" w14:textId="5272866D" w:rsidR="00DE4F00" w:rsidRDefault="004D1281" w:rsidP="00FF2BF1">
      <w:pPr>
        <w:rPr>
          <w:rFonts w:ascii="Cambria Math" w:hAnsi="Cambria Math"/>
        </w:rPr>
      </w:pPr>
      <w:r w:rsidRPr="004D1281">
        <w:rPr>
          <w:rFonts w:ascii="Cambria Math" w:hAnsi="Cambria Math"/>
          <w:b/>
          <w:bCs/>
        </w:rPr>
        <w:t>Revision Crosswalk Document</w:t>
      </w:r>
      <w:r w:rsidRPr="004D1281">
        <w:rPr>
          <w:rFonts w:ascii="Cambria Math" w:hAnsi="Cambria Math"/>
        </w:rPr>
        <w:br/>
      </w:r>
      <w:r w:rsidRPr="004D1281">
        <w:rPr>
          <w:rFonts w:ascii="Cambria Math" w:hAnsi="Cambria Math"/>
          <w:b/>
          <w:bCs/>
        </w:rPr>
        <w:t>Prepared by:</w:t>
      </w:r>
      <w:r w:rsidRPr="004D1281">
        <w:rPr>
          <w:rFonts w:ascii="Cambria Math" w:hAnsi="Cambria Math"/>
        </w:rPr>
        <w:t xml:space="preserve"> </w:t>
      </w:r>
      <w:r>
        <w:rPr>
          <w:rFonts w:ascii="Cambria Math" w:hAnsi="Cambria Math"/>
        </w:rPr>
        <w:t>Belle Delacruz-Lysell</w:t>
      </w:r>
      <w:r w:rsidRPr="004D1281">
        <w:rPr>
          <w:rFonts w:ascii="Cambria Math" w:hAnsi="Cambria Math"/>
        </w:rPr>
        <w:t>, CE HMIS Coordinator</w:t>
      </w:r>
      <w:r w:rsidRPr="004D1281">
        <w:rPr>
          <w:rFonts w:ascii="Cambria Math" w:hAnsi="Cambria Math"/>
        </w:rPr>
        <w:br/>
      </w:r>
      <w:r w:rsidRPr="004D1281">
        <w:rPr>
          <w:rFonts w:ascii="Cambria Math" w:hAnsi="Cambria Math"/>
          <w:b/>
          <w:bCs/>
        </w:rPr>
        <w:t>Date:</w:t>
      </w:r>
      <w:r w:rsidRPr="004D1281">
        <w:rPr>
          <w:rFonts w:ascii="Cambria Math" w:hAnsi="Cambria Math"/>
        </w:rPr>
        <w:t xml:space="preserve"> </w:t>
      </w:r>
      <w:r>
        <w:rPr>
          <w:rFonts w:ascii="Cambria Math" w:hAnsi="Cambria Math"/>
        </w:rPr>
        <w:t>10/22/2025</w:t>
      </w:r>
      <w:r w:rsidRPr="004D1281">
        <w:rPr>
          <w:rFonts w:ascii="Cambria Math" w:hAnsi="Cambria Math"/>
        </w:rPr>
        <w:br/>
      </w:r>
      <w:r w:rsidRPr="004D1281">
        <w:rPr>
          <w:rFonts w:ascii="Cambria Math" w:hAnsi="Cambria Math"/>
          <w:b/>
          <w:bCs/>
        </w:rPr>
        <w:t>Purpose:</w:t>
      </w:r>
      <w:r w:rsidRPr="004D1281">
        <w:rPr>
          <w:rFonts w:ascii="Cambria Math" w:hAnsi="Cambria Math"/>
        </w:rPr>
        <w:t xml:space="preserve"> This document outlines </w:t>
      </w:r>
      <w:r w:rsidRPr="004D1281">
        <w:rPr>
          <w:rFonts w:ascii="Cambria Math" w:hAnsi="Cambria Math"/>
          <w:i/>
          <w:iCs/>
        </w:rPr>
        <w:t>suggested revisions</w:t>
      </w:r>
      <w:r w:rsidRPr="004D1281">
        <w:rPr>
          <w:rFonts w:ascii="Cambria Math" w:hAnsi="Cambria Math"/>
        </w:rPr>
        <w:t xml:space="preserve"> to the current MO BoS CE Intake Tool for FY 2026. These updates aim to improve clarity, consistency, and usability for providers. The crosswalk below summarizes key changes and formatting recommendations for review by the CE Committee Chair and Board Chair.</w:t>
      </w:r>
    </w:p>
    <w:p w14:paraId="797D70A4" w14:textId="2903157A" w:rsidR="000617A6" w:rsidRPr="000617A6" w:rsidRDefault="000617A6" w:rsidP="00081641">
      <w:pPr>
        <w:spacing w:after="0"/>
        <w:rPr>
          <w:rFonts w:ascii="Cambria Math" w:hAnsi="Cambria Math"/>
          <w:b/>
          <w:bCs/>
        </w:rPr>
      </w:pPr>
      <w:r w:rsidRPr="000617A6">
        <w:rPr>
          <w:rFonts w:ascii="Cambria Math" w:hAnsi="Cambria Math"/>
          <w:b/>
          <w:bCs/>
        </w:rPr>
        <w:t>FY 2026 Revision Summary</w:t>
      </w:r>
    </w:p>
    <w:p w14:paraId="1AADA2F5" w14:textId="77777777" w:rsidR="000617A6" w:rsidRPr="000617A6" w:rsidRDefault="000617A6" w:rsidP="00081641">
      <w:pPr>
        <w:spacing w:after="0"/>
        <w:rPr>
          <w:rFonts w:ascii="Cambria Math" w:hAnsi="Cambria Math"/>
        </w:rPr>
      </w:pPr>
      <w:r w:rsidRPr="000617A6">
        <w:rPr>
          <w:rFonts w:ascii="Cambria Math" w:hAnsi="Cambria Math"/>
        </w:rPr>
        <w:t>Content Updates:</w:t>
      </w:r>
    </w:p>
    <w:p w14:paraId="556075F6" w14:textId="77777777" w:rsidR="000617A6" w:rsidRPr="000617A6" w:rsidRDefault="000617A6" w:rsidP="00081641">
      <w:pPr>
        <w:pStyle w:val="ListParagraph"/>
        <w:numPr>
          <w:ilvl w:val="0"/>
          <w:numId w:val="3"/>
        </w:numPr>
        <w:spacing w:after="0"/>
        <w:rPr>
          <w:rFonts w:ascii="Cambria Math" w:hAnsi="Cambria Math"/>
        </w:rPr>
      </w:pPr>
      <w:r w:rsidRPr="000617A6">
        <w:rPr>
          <w:rFonts w:ascii="Cambria Math" w:hAnsi="Cambria Math"/>
        </w:rPr>
        <w:t>Removed: “Gender”</w:t>
      </w:r>
    </w:p>
    <w:p w14:paraId="6BB249A6" w14:textId="77777777" w:rsidR="000617A6" w:rsidRPr="000617A6" w:rsidRDefault="000617A6" w:rsidP="00081641">
      <w:pPr>
        <w:pStyle w:val="ListParagraph"/>
        <w:numPr>
          <w:ilvl w:val="0"/>
          <w:numId w:val="3"/>
        </w:numPr>
        <w:spacing w:after="0"/>
        <w:rPr>
          <w:rFonts w:ascii="Cambria Math" w:hAnsi="Cambria Math"/>
        </w:rPr>
      </w:pPr>
      <w:r w:rsidRPr="000617A6">
        <w:rPr>
          <w:rFonts w:ascii="Cambria Math" w:hAnsi="Cambria Math"/>
        </w:rPr>
        <w:t>Added: “Sex”</w:t>
      </w:r>
    </w:p>
    <w:p w14:paraId="3D5EF9D6" w14:textId="77777777" w:rsidR="000617A6" w:rsidRPr="000617A6" w:rsidRDefault="000617A6" w:rsidP="00081641">
      <w:pPr>
        <w:pStyle w:val="ListParagraph"/>
        <w:numPr>
          <w:ilvl w:val="0"/>
          <w:numId w:val="3"/>
        </w:numPr>
        <w:spacing w:after="0"/>
        <w:rPr>
          <w:rFonts w:ascii="Cambria Math" w:hAnsi="Cambria Math"/>
        </w:rPr>
      </w:pPr>
      <w:r w:rsidRPr="000617A6">
        <w:rPr>
          <w:rFonts w:ascii="Cambria Math" w:hAnsi="Cambria Math"/>
        </w:rPr>
        <w:t>Removed: “Translation Assistance” section</w:t>
      </w:r>
    </w:p>
    <w:p w14:paraId="580E616D" w14:textId="38333785" w:rsidR="000617A6" w:rsidRPr="000617A6" w:rsidRDefault="000617A6" w:rsidP="00081641">
      <w:pPr>
        <w:pStyle w:val="ListParagraph"/>
        <w:numPr>
          <w:ilvl w:val="0"/>
          <w:numId w:val="3"/>
        </w:numPr>
        <w:spacing w:after="0"/>
        <w:rPr>
          <w:rFonts w:ascii="Cambria Math" w:hAnsi="Cambria Math"/>
        </w:rPr>
      </w:pPr>
      <w:r w:rsidRPr="000617A6">
        <w:rPr>
          <w:rFonts w:ascii="Cambria Math" w:hAnsi="Cambria Math"/>
        </w:rPr>
        <w:t>Updated Term: “Latina/e/o/x” → “Latina/o”</w:t>
      </w:r>
    </w:p>
    <w:p w14:paraId="448EDD17" w14:textId="77777777" w:rsidR="00081641" w:rsidRDefault="00081641" w:rsidP="006E7C2B">
      <w:pPr>
        <w:rPr>
          <w:rFonts w:ascii="Cambria Math" w:hAnsi="Cambria Math"/>
          <w:b/>
          <w:bCs/>
        </w:rPr>
      </w:pPr>
    </w:p>
    <w:p w14:paraId="3C47C3DE" w14:textId="35D196B1" w:rsidR="006E7C2B" w:rsidRPr="006E7C2B" w:rsidRDefault="006E7C2B" w:rsidP="006E7C2B">
      <w:pPr>
        <w:rPr>
          <w:rFonts w:ascii="Cambria Math" w:hAnsi="Cambria Math"/>
          <w:b/>
          <w:bCs/>
        </w:rPr>
      </w:pPr>
      <w:proofErr w:type="gramStart"/>
      <w:r w:rsidRPr="006E7C2B">
        <w:rPr>
          <w:rFonts w:ascii="Cambria Math" w:hAnsi="Cambria Math"/>
          <w:b/>
          <w:bCs/>
        </w:rPr>
        <w:t>Formatting</w:t>
      </w:r>
      <w:proofErr w:type="gramEnd"/>
      <w:r w:rsidRPr="006E7C2B">
        <w:rPr>
          <w:rFonts w:ascii="Cambria Math" w:hAnsi="Cambria Math"/>
          <w:b/>
          <w:bCs/>
        </w:rPr>
        <w:t xml:space="preserve"> and Structural Suggestions</w:t>
      </w:r>
    </w:p>
    <w:tbl>
      <w:tblPr>
        <w:tblW w:w="0" w:type="auto"/>
        <w:jc w:val="center"/>
        <w:tblCellSpacing w:w="15" w:type="dxa"/>
        <w:tblBorders>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2160"/>
        <w:gridCol w:w="3074"/>
        <w:gridCol w:w="2691"/>
      </w:tblGrid>
      <w:tr w:rsidR="00F44E76" w:rsidRPr="006E7C2B" w14:paraId="12AC75AE" w14:textId="77777777" w:rsidTr="00E93738">
        <w:trPr>
          <w:tblHeader/>
          <w:tblCellSpacing w:w="15" w:type="dxa"/>
          <w:jc w:val="center"/>
        </w:trPr>
        <w:tc>
          <w:tcPr>
            <w:tcW w:w="1390" w:type="dxa"/>
            <w:vAlign w:val="center"/>
            <w:hideMark/>
          </w:tcPr>
          <w:p w14:paraId="2831E53B" w14:textId="723B1DBC" w:rsidR="006E7C2B" w:rsidRPr="006E7C2B" w:rsidRDefault="006E7C2B" w:rsidP="00215F1D">
            <w:pPr>
              <w:jc w:val="center"/>
              <w:rPr>
                <w:rFonts w:ascii="Cambria Math" w:hAnsi="Cambria Math"/>
                <w:b/>
                <w:bCs/>
              </w:rPr>
            </w:pPr>
            <w:r w:rsidRPr="006E7C2B">
              <w:rPr>
                <w:rFonts w:ascii="Cambria Math" w:hAnsi="Cambria Math"/>
                <w:b/>
                <w:bCs/>
              </w:rPr>
              <w:t>Page</w:t>
            </w:r>
          </w:p>
        </w:tc>
        <w:tc>
          <w:tcPr>
            <w:tcW w:w="2130" w:type="dxa"/>
            <w:vAlign w:val="center"/>
            <w:hideMark/>
          </w:tcPr>
          <w:p w14:paraId="1D33CA26" w14:textId="77777777" w:rsidR="006E7C2B" w:rsidRPr="006E7C2B" w:rsidRDefault="006E7C2B" w:rsidP="00215F1D">
            <w:pPr>
              <w:jc w:val="center"/>
              <w:rPr>
                <w:rFonts w:ascii="Cambria Math" w:hAnsi="Cambria Math"/>
                <w:b/>
                <w:bCs/>
              </w:rPr>
            </w:pPr>
            <w:r w:rsidRPr="006E7C2B">
              <w:rPr>
                <w:rFonts w:ascii="Cambria Math" w:hAnsi="Cambria Math"/>
                <w:b/>
                <w:bCs/>
              </w:rPr>
              <w:t>Current Version</w:t>
            </w:r>
          </w:p>
        </w:tc>
        <w:tc>
          <w:tcPr>
            <w:tcW w:w="0" w:type="auto"/>
            <w:vAlign w:val="center"/>
            <w:hideMark/>
          </w:tcPr>
          <w:p w14:paraId="66DED2BE" w14:textId="77777777" w:rsidR="006E7C2B" w:rsidRPr="006E7C2B" w:rsidRDefault="006E7C2B" w:rsidP="00215F1D">
            <w:pPr>
              <w:jc w:val="center"/>
              <w:rPr>
                <w:rFonts w:ascii="Cambria Math" w:hAnsi="Cambria Math"/>
                <w:b/>
                <w:bCs/>
              </w:rPr>
            </w:pPr>
            <w:r w:rsidRPr="006E7C2B">
              <w:rPr>
                <w:rFonts w:ascii="Cambria Math" w:hAnsi="Cambria Math"/>
                <w:b/>
                <w:bCs/>
              </w:rPr>
              <w:t>Suggested Revision</w:t>
            </w:r>
          </w:p>
        </w:tc>
        <w:tc>
          <w:tcPr>
            <w:tcW w:w="0" w:type="auto"/>
            <w:vAlign w:val="center"/>
            <w:hideMark/>
          </w:tcPr>
          <w:p w14:paraId="0D47B30B" w14:textId="77777777" w:rsidR="006E7C2B" w:rsidRPr="006E7C2B" w:rsidRDefault="006E7C2B" w:rsidP="00215F1D">
            <w:pPr>
              <w:jc w:val="center"/>
              <w:rPr>
                <w:rFonts w:ascii="Cambria Math" w:hAnsi="Cambria Math"/>
                <w:b/>
                <w:bCs/>
              </w:rPr>
            </w:pPr>
            <w:r w:rsidRPr="006E7C2B">
              <w:rPr>
                <w:rFonts w:ascii="Cambria Math" w:hAnsi="Cambria Math"/>
                <w:b/>
                <w:bCs/>
              </w:rPr>
              <w:t>Rationale</w:t>
            </w:r>
          </w:p>
        </w:tc>
      </w:tr>
      <w:tr w:rsidR="00F44E76" w:rsidRPr="006E7C2B" w14:paraId="1214230D" w14:textId="77777777" w:rsidTr="00E93738">
        <w:trPr>
          <w:tblCellSpacing w:w="15" w:type="dxa"/>
          <w:jc w:val="center"/>
        </w:trPr>
        <w:tc>
          <w:tcPr>
            <w:tcW w:w="1390" w:type="dxa"/>
            <w:vAlign w:val="center"/>
            <w:hideMark/>
          </w:tcPr>
          <w:p w14:paraId="7D2B4F07"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All Pages</w:t>
            </w:r>
          </w:p>
        </w:tc>
        <w:tc>
          <w:tcPr>
            <w:tcW w:w="2130" w:type="dxa"/>
            <w:vAlign w:val="center"/>
            <w:hideMark/>
          </w:tcPr>
          <w:p w14:paraId="0183AFF1"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No page numbers</w:t>
            </w:r>
          </w:p>
        </w:tc>
        <w:tc>
          <w:tcPr>
            <w:tcW w:w="0" w:type="auto"/>
            <w:vAlign w:val="center"/>
            <w:hideMark/>
          </w:tcPr>
          <w:p w14:paraId="34014F59"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Added page numbers</w:t>
            </w:r>
          </w:p>
        </w:tc>
        <w:tc>
          <w:tcPr>
            <w:tcW w:w="0" w:type="auto"/>
            <w:vAlign w:val="center"/>
            <w:hideMark/>
          </w:tcPr>
          <w:p w14:paraId="314DD5E9"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Improves navigation</w:t>
            </w:r>
          </w:p>
        </w:tc>
      </w:tr>
      <w:tr w:rsidR="00F44E76" w:rsidRPr="006E7C2B" w14:paraId="2AD4CA8F" w14:textId="77777777" w:rsidTr="00E93738">
        <w:trPr>
          <w:tblCellSpacing w:w="15" w:type="dxa"/>
          <w:jc w:val="center"/>
        </w:trPr>
        <w:tc>
          <w:tcPr>
            <w:tcW w:w="1390" w:type="dxa"/>
            <w:vAlign w:val="center"/>
            <w:hideMark/>
          </w:tcPr>
          <w:p w14:paraId="29916BEC"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All Pages</w:t>
            </w:r>
          </w:p>
        </w:tc>
        <w:tc>
          <w:tcPr>
            <w:tcW w:w="2130" w:type="dxa"/>
            <w:vAlign w:val="center"/>
            <w:hideMark/>
          </w:tcPr>
          <w:p w14:paraId="4AE615C9" w14:textId="34CBBA3E" w:rsidR="006E7C2B" w:rsidRPr="006E7C2B" w:rsidRDefault="000E77D9" w:rsidP="00215F1D">
            <w:pPr>
              <w:jc w:val="center"/>
              <w:rPr>
                <w:rFonts w:ascii="Cambria Math" w:hAnsi="Cambria Math"/>
                <w:sz w:val="22"/>
                <w:szCs w:val="22"/>
              </w:rPr>
            </w:pPr>
            <w:r w:rsidRPr="00673098">
              <w:rPr>
                <w:rFonts w:ascii="Cambria Math" w:hAnsi="Cambria Math"/>
                <w:sz w:val="22"/>
                <w:szCs w:val="22"/>
              </w:rPr>
              <w:t xml:space="preserve">Inconsistent </w:t>
            </w:r>
            <w:r w:rsidR="006E7C2B" w:rsidRPr="006E7C2B">
              <w:rPr>
                <w:rFonts w:ascii="Cambria Math" w:hAnsi="Cambria Math"/>
                <w:sz w:val="22"/>
                <w:szCs w:val="22"/>
              </w:rPr>
              <w:t>section title headers</w:t>
            </w:r>
          </w:p>
        </w:tc>
        <w:tc>
          <w:tcPr>
            <w:tcW w:w="0" w:type="auto"/>
            <w:vAlign w:val="center"/>
            <w:hideMark/>
          </w:tcPr>
          <w:p w14:paraId="77DEA86E" w14:textId="368700E5" w:rsidR="006E7C2B" w:rsidRPr="006E7C2B" w:rsidRDefault="00D86B10" w:rsidP="00215F1D">
            <w:pPr>
              <w:jc w:val="center"/>
              <w:rPr>
                <w:rFonts w:ascii="Cambria Math" w:hAnsi="Cambria Math"/>
                <w:sz w:val="22"/>
                <w:szCs w:val="22"/>
              </w:rPr>
            </w:pPr>
            <w:r w:rsidRPr="00673098">
              <w:rPr>
                <w:rFonts w:ascii="Cambria Math" w:hAnsi="Cambria Math"/>
                <w:sz w:val="22"/>
                <w:szCs w:val="22"/>
              </w:rPr>
              <w:t>Section titles for all pages</w:t>
            </w:r>
          </w:p>
        </w:tc>
        <w:tc>
          <w:tcPr>
            <w:tcW w:w="0" w:type="auto"/>
            <w:vAlign w:val="center"/>
            <w:hideMark/>
          </w:tcPr>
          <w:p w14:paraId="33F07567" w14:textId="743A3033" w:rsidR="006E7C2B" w:rsidRPr="006E7C2B" w:rsidRDefault="006E7C2B" w:rsidP="00215F1D">
            <w:pPr>
              <w:jc w:val="center"/>
              <w:rPr>
                <w:rFonts w:ascii="Cambria Math" w:hAnsi="Cambria Math"/>
                <w:sz w:val="22"/>
                <w:szCs w:val="22"/>
              </w:rPr>
            </w:pPr>
            <w:r w:rsidRPr="006E7C2B">
              <w:rPr>
                <w:rFonts w:ascii="Cambria Math" w:hAnsi="Cambria Math"/>
                <w:sz w:val="22"/>
                <w:szCs w:val="22"/>
              </w:rPr>
              <w:t xml:space="preserve">Increases clarity on assessment </w:t>
            </w:r>
          </w:p>
        </w:tc>
      </w:tr>
      <w:tr w:rsidR="00F44E76" w:rsidRPr="006E7C2B" w14:paraId="2558B7BC" w14:textId="77777777" w:rsidTr="00E93738">
        <w:trPr>
          <w:tblCellSpacing w:w="15" w:type="dxa"/>
          <w:jc w:val="center"/>
        </w:trPr>
        <w:tc>
          <w:tcPr>
            <w:tcW w:w="1390" w:type="dxa"/>
            <w:vAlign w:val="center"/>
            <w:hideMark/>
          </w:tcPr>
          <w:p w14:paraId="406B9722"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All Yes/No questions</w:t>
            </w:r>
          </w:p>
        </w:tc>
        <w:tc>
          <w:tcPr>
            <w:tcW w:w="2130" w:type="dxa"/>
            <w:vAlign w:val="center"/>
            <w:hideMark/>
          </w:tcPr>
          <w:p w14:paraId="7A91BC41"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Order varies</w:t>
            </w:r>
          </w:p>
        </w:tc>
        <w:tc>
          <w:tcPr>
            <w:tcW w:w="0" w:type="auto"/>
            <w:vAlign w:val="center"/>
            <w:hideMark/>
          </w:tcPr>
          <w:p w14:paraId="43EFFFB3"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Standardized with “Yes” listed first</w:t>
            </w:r>
          </w:p>
        </w:tc>
        <w:tc>
          <w:tcPr>
            <w:tcW w:w="0" w:type="auto"/>
            <w:vAlign w:val="center"/>
            <w:hideMark/>
          </w:tcPr>
          <w:p w14:paraId="69315A0E"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Consistency for users</w:t>
            </w:r>
          </w:p>
        </w:tc>
      </w:tr>
      <w:tr w:rsidR="00F44E76" w:rsidRPr="006E7C2B" w14:paraId="4BE449EE" w14:textId="77777777" w:rsidTr="00E93738">
        <w:trPr>
          <w:tblCellSpacing w:w="15" w:type="dxa"/>
          <w:jc w:val="center"/>
        </w:trPr>
        <w:tc>
          <w:tcPr>
            <w:tcW w:w="1390" w:type="dxa"/>
            <w:vAlign w:val="center"/>
            <w:hideMark/>
          </w:tcPr>
          <w:p w14:paraId="578D694F"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Page 1</w:t>
            </w:r>
          </w:p>
        </w:tc>
        <w:tc>
          <w:tcPr>
            <w:tcW w:w="2130" w:type="dxa"/>
            <w:vAlign w:val="center"/>
            <w:hideMark/>
          </w:tcPr>
          <w:p w14:paraId="670DD683"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ROI warning text</w:t>
            </w:r>
          </w:p>
        </w:tc>
        <w:tc>
          <w:tcPr>
            <w:tcW w:w="0" w:type="auto"/>
            <w:vAlign w:val="center"/>
            <w:hideMark/>
          </w:tcPr>
          <w:p w14:paraId="18EB3F20"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Adjusted to “Stop!”</w:t>
            </w:r>
          </w:p>
        </w:tc>
        <w:tc>
          <w:tcPr>
            <w:tcW w:w="0" w:type="auto"/>
            <w:vAlign w:val="center"/>
            <w:hideMark/>
          </w:tcPr>
          <w:p w14:paraId="13E178CF" w14:textId="77777777" w:rsidR="006E7C2B" w:rsidRPr="006E7C2B" w:rsidRDefault="006E7C2B" w:rsidP="00215F1D">
            <w:pPr>
              <w:jc w:val="center"/>
              <w:rPr>
                <w:rFonts w:ascii="Cambria Math" w:hAnsi="Cambria Math"/>
                <w:sz w:val="22"/>
                <w:szCs w:val="22"/>
              </w:rPr>
            </w:pPr>
            <w:proofErr w:type="gramStart"/>
            <w:r w:rsidRPr="006E7C2B">
              <w:rPr>
                <w:rFonts w:ascii="Cambria Math" w:hAnsi="Cambria Math"/>
                <w:sz w:val="22"/>
                <w:szCs w:val="22"/>
              </w:rPr>
              <w:t>Makes</w:t>
            </w:r>
            <w:proofErr w:type="gramEnd"/>
            <w:r w:rsidRPr="006E7C2B">
              <w:rPr>
                <w:rFonts w:ascii="Cambria Math" w:hAnsi="Cambria Math"/>
                <w:sz w:val="22"/>
                <w:szCs w:val="22"/>
              </w:rPr>
              <w:t xml:space="preserve"> key notice more visible</w:t>
            </w:r>
          </w:p>
        </w:tc>
      </w:tr>
      <w:tr w:rsidR="00F44E76" w:rsidRPr="006E7C2B" w14:paraId="199C2B96" w14:textId="77777777" w:rsidTr="00E93738">
        <w:trPr>
          <w:tblCellSpacing w:w="15" w:type="dxa"/>
          <w:jc w:val="center"/>
        </w:trPr>
        <w:tc>
          <w:tcPr>
            <w:tcW w:w="1390" w:type="dxa"/>
            <w:vAlign w:val="center"/>
            <w:hideMark/>
          </w:tcPr>
          <w:p w14:paraId="0FF51A29"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Page 4</w:t>
            </w:r>
          </w:p>
        </w:tc>
        <w:tc>
          <w:tcPr>
            <w:tcW w:w="2130" w:type="dxa"/>
            <w:vAlign w:val="center"/>
            <w:hideMark/>
          </w:tcPr>
          <w:p w14:paraId="48F9638C" w14:textId="4B9523AF" w:rsidR="006E7C2B" w:rsidRPr="006E7C2B" w:rsidRDefault="006E7C2B" w:rsidP="00215F1D">
            <w:pPr>
              <w:jc w:val="center"/>
              <w:rPr>
                <w:rFonts w:ascii="Cambria Math" w:hAnsi="Cambria Math"/>
                <w:sz w:val="22"/>
                <w:szCs w:val="22"/>
              </w:rPr>
            </w:pPr>
            <w:r w:rsidRPr="006E7C2B">
              <w:rPr>
                <w:rFonts w:ascii="Cambria Math" w:hAnsi="Cambria Math"/>
                <w:sz w:val="22"/>
                <w:szCs w:val="22"/>
              </w:rPr>
              <w:t xml:space="preserve">Two child info forms </w:t>
            </w:r>
            <w:r w:rsidR="0065172B" w:rsidRPr="00673098">
              <w:rPr>
                <w:rFonts w:ascii="Cambria Math" w:hAnsi="Cambria Math"/>
                <w:sz w:val="22"/>
                <w:szCs w:val="22"/>
              </w:rPr>
              <w:t>on</w:t>
            </w:r>
            <w:r w:rsidRPr="006E7C2B">
              <w:rPr>
                <w:rFonts w:ascii="Cambria Math" w:hAnsi="Cambria Math"/>
                <w:sz w:val="22"/>
                <w:szCs w:val="22"/>
              </w:rPr>
              <w:t xml:space="preserve"> page</w:t>
            </w:r>
          </w:p>
        </w:tc>
        <w:tc>
          <w:tcPr>
            <w:tcW w:w="0" w:type="auto"/>
            <w:vAlign w:val="center"/>
            <w:hideMark/>
          </w:tcPr>
          <w:p w14:paraId="226CC4BB" w14:textId="2F4B9928" w:rsidR="006E7C2B" w:rsidRPr="006E7C2B" w:rsidRDefault="00622B85" w:rsidP="00215F1D">
            <w:pPr>
              <w:jc w:val="center"/>
              <w:rPr>
                <w:rFonts w:ascii="Cambria Math" w:hAnsi="Cambria Math"/>
                <w:sz w:val="22"/>
                <w:szCs w:val="22"/>
              </w:rPr>
            </w:pPr>
            <w:r w:rsidRPr="00673098">
              <w:rPr>
                <w:rFonts w:ascii="Cambria Math" w:hAnsi="Cambria Math"/>
                <w:sz w:val="22"/>
                <w:szCs w:val="22"/>
              </w:rPr>
              <w:t>One form on page, expanded</w:t>
            </w:r>
          </w:p>
        </w:tc>
        <w:tc>
          <w:tcPr>
            <w:tcW w:w="0" w:type="auto"/>
            <w:vAlign w:val="center"/>
            <w:hideMark/>
          </w:tcPr>
          <w:p w14:paraId="41C40FBA"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Improves readability and usability</w:t>
            </w:r>
          </w:p>
        </w:tc>
      </w:tr>
      <w:tr w:rsidR="00F44E76" w:rsidRPr="006E7C2B" w14:paraId="7F874E3D" w14:textId="77777777" w:rsidTr="00E93738">
        <w:trPr>
          <w:tblCellSpacing w:w="15" w:type="dxa"/>
          <w:jc w:val="center"/>
        </w:trPr>
        <w:tc>
          <w:tcPr>
            <w:tcW w:w="1390" w:type="dxa"/>
            <w:vAlign w:val="center"/>
            <w:hideMark/>
          </w:tcPr>
          <w:p w14:paraId="1740EB3E"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Pg 5–7</w:t>
            </w:r>
          </w:p>
        </w:tc>
        <w:tc>
          <w:tcPr>
            <w:tcW w:w="2130" w:type="dxa"/>
            <w:vAlign w:val="center"/>
            <w:hideMark/>
          </w:tcPr>
          <w:p w14:paraId="308D6385"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Prevention Diversion Assessment</w:t>
            </w:r>
          </w:p>
        </w:tc>
        <w:tc>
          <w:tcPr>
            <w:tcW w:w="0" w:type="auto"/>
            <w:vAlign w:val="center"/>
            <w:hideMark/>
          </w:tcPr>
          <w:p w14:paraId="3B2FAF6C"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Updated to “Crisis Needs/Prevention Diversion Assessment”</w:t>
            </w:r>
          </w:p>
        </w:tc>
        <w:tc>
          <w:tcPr>
            <w:tcW w:w="0" w:type="auto"/>
            <w:vAlign w:val="center"/>
            <w:hideMark/>
          </w:tcPr>
          <w:p w14:paraId="2F698E5D" w14:textId="338CDE5F" w:rsidR="006E7C2B" w:rsidRPr="006E7C2B" w:rsidRDefault="006E7C2B" w:rsidP="00215F1D">
            <w:pPr>
              <w:jc w:val="center"/>
              <w:rPr>
                <w:rFonts w:ascii="Cambria Math" w:hAnsi="Cambria Math"/>
                <w:sz w:val="22"/>
                <w:szCs w:val="22"/>
              </w:rPr>
            </w:pPr>
            <w:r w:rsidRPr="006E7C2B">
              <w:rPr>
                <w:rFonts w:ascii="Cambria Math" w:hAnsi="Cambria Math"/>
                <w:sz w:val="22"/>
                <w:szCs w:val="22"/>
              </w:rPr>
              <w:t>Clarifies purpose and aligns with current practices</w:t>
            </w:r>
            <w:r w:rsidR="00F44E76" w:rsidRPr="00673098">
              <w:rPr>
                <w:rFonts w:ascii="Cambria Math" w:hAnsi="Cambria Math"/>
                <w:sz w:val="22"/>
                <w:szCs w:val="22"/>
              </w:rPr>
              <w:t xml:space="preserve"> and HMIS input</w:t>
            </w:r>
          </w:p>
        </w:tc>
      </w:tr>
      <w:tr w:rsidR="00F44E76" w:rsidRPr="006E7C2B" w14:paraId="609AB9FB" w14:textId="77777777" w:rsidTr="00E93738">
        <w:trPr>
          <w:tblCellSpacing w:w="15" w:type="dxa"/>
          <w:jc w:val="center"/>
        </w:trPr>
        <w:tc>
          <w:tcPr>
            <w:tcW w:w="1390" w:type="dxa"/>
            <w:vAlign w:val="center"/>
            <w:hideMark/>
          </w:tcPr>
          <w:p w14:paraId="04D16CCE"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Page 5</w:t>
            </w:r>
          </w:p>
        </w:tc>
        <w:tc>
          <w:tcPr>
            <w:tcW w:w="2130" w:type="dxa"/>
            <w:vAlign w:val="center"/>
            <w:hideMark/>
          </w:tcPr>
          <w:p w14:paraId="7147CB03"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No direction on use</w:t>
            </w:r>
          </w:p>
        </w:tc>
        <w:tc>
          <w:tcPr>
            <w:tcW w:w="0" w:type="auto"/>
            <w:vAlign w:val="center"/>
            <w:hideMark/>
          </w:tcPr>
          <w:p w14:paraId="6A442A6C"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Added short direction for determining literal homelessness</w:t>
            </w:r>
          </w:p>
        </w:tc>
        <w:tc>
          <w:tcPr>
            <w:tcW w:w="0" w:type="auto"/>
            <w:vAlign w:val="center"/>
            <w:hideMark/>
          </w:tcPr>
          <w:p w14:paraId="541C66A5" w14:textId="77777777" w:rsidR="006E7C2B" w:rsidRPr="006E7C2B" w:rsidRDefault="006E7C2B" w:rsidP="00215F1D">
            <w:pPr>
              <w:jc w:val="center"/>
              <w:rPr>
                <w:rFonts w:ascii="Cambria Math" w:hAnsi="Cambria Math"/>
                <w:sz w:val="22"/>
                <w:szCs w:val="22"/>
              </w:rPr>
            </w:pPr>
            <w:proofErr w:type="gramStart"/>
            <w:r w:rsidRPr="006E7C2B">
              <w:rPr>
                <w:rFonts w:ascii="Cambria Math" w:hAnsi="Cambria Math"/>
                <w:sz w:val="22"/>
                <w:szCs w:val="22"/>
              </w:rPr>
              <w:t>Improves</w:t>
            </w:r>
            <w:proofErr w:type="gramEnd"/>
            <w:r w:rsidRPr="006E7C2B">
              <w:rPr>
                <w:rFonts w:ascii="Cambria Math" w:hAnsi="Cambria Math"/>
                <w:sz w:val="22"/>
                <w:szCs w:val="22"/>
              </w:rPr>
              <w:t xml:space="preserve"> guidance for assessors</w:t>
            </w:r>
          </w:p>
        </w:tc>
      </w:tr>
      <w:tr w:rsidR="00F44E76" w:rsidRPr="006E7C2B" w14:paraId="724905F0" w14:textId="77777777" w:rsidTr="00E93738">
        <w:trPr>
          <w:tblCellSpacing w:w="15" w:type="dxa"/>
          <w:jc w:val="center"/>
        </w:trPr>
        <w:tc>
          <w:tcPr>
            <w:tcW w:w="1390" w:type="dxa"/>
            <w:vAlign w:val="center"/>
            <w:hideMark/>
          </w:tcPr>
          <w:p w14:paraId="2ADDBD8F"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lastRenderedPageBreak/>
              <w:t>Pg 5–7</w:t>
            </w:r>
          </w:p>
        </w:tc>
        <w:tc>
          <w:tcPr>
            <w:tcW w:w="2130" w:type="dxa"/>
            <w:vAlign w:val="center"/>
            <w:hideMark/>
          </w:tcPr>
          <w:p w14:paraId="17BDD598"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Numbered questions (incorrect)</w:t>
            </w:r>
          </w:p>
        </w:tc>
        <w:tc>
          <w:tcPr>
            <w:tcW w:w="0" w:type="auto"/>
            <w:vAlign w:val="center"/>
            <w:hideMark/>
          </w:tcPr>
          <w:p w14:paraId="68B7D5FF"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Removed numbering</w:t>
            </w:r>
          </w:p>
        </w:tc>
        <w:tc>
          <w:tcPr>
            <w:tcW w:w="0" w:type="auto"/>
            <w:vAlign w:val="center"/>
            <w:hideMark/>
          </w:tcPr>
          <w:p w14:paraId="6F999729"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Avoids confusion</w:t>
            </w:r>
          </w:p>
        </w:tc>
      </w:tr>
      <w:tr w:rsidR="00F44E76" w:rsidRPr="006E7C2B" w14:paraId="385D5C51" w14:textId="77777777" w:rsidTr="00E93738">
        <w:trPr>
          <w:tblCellSpacing w:w="15" w:type="dxa"/>
          <w:jc w:val="center"/>
        </w:trPr>
        <w:tc>
          <w:tcPr>
            <w:tcW w:w="1390" w:type="dxa"/>
            <w:vAlign w:val="center"/>
            <w:hideMark/>
          </w:tcPr>
          <w:p w14:paraId="7675C6BD"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Page 6</w:t>
            </w:r>
          </w:p>
        </w:tc>
        <w:tc>
          <w:tcPr>
            <w:tcW w:w="2130" w:type="dxa"/>
            <w:vAlign w:val="center"/>
            <w:hideMark/>
          </w:tcPr>
          <w:p w14:paraId="1F5638EC" w14:textId="69C14DAF" w:rsidR="006E7C2B" w:rsidRPr="006E7C2B" w:rsidRDefault="006E7C2B" w:rsidP="00215F1D">
            <w:pPr>
              <w:jc w:val="center"/>
              <w:rPr>
                <w:rFonts w:ascii="Cambria Math" w:hAnsi="Cambria Math"/>
                <w:sz w:val="22"/>
                <w:szCs w:val="22"/>
              </w:rPr>
            </w:pPr>
            <w:r w:rsidRPr="006E7C2B">
              <w:rPr>
                <w:rFonts w:ascii="Cambria Math" w:hAnsi="Cambria Math"/>
                <w:sz w:val="22"/>
                <w:szCs w:val="22"/>
              </w:rPr>
              <w:t>Order of options</w:t>
            </w:r>
          </w:p>
        </w:tc>
        <w:tc>
          <w:tcPr>
            <w:tcW w:w="0" w:type="auto"/>
            <w:vAlign w:val="center"/>
            <w:hideMark/>
          </w:tcPr>
          <w:p w14:paraId="49D27DBD"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Moved emergency/homeless options to top</w:t>
            </w:r>
          </w:p>
        </w:tc>
        <w:tc>
          <w:tcPr>
            <w:tcW w:w="0" w:type="auto"/>
            <w:vAlign w:val="center"/>
            <w:hideMark/>
          </w:tcPr>
          <w:p w14:paraId="2B2EAADB"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Reflects CES prioritization</w:t>
            </w:r>
          </w:p>
        </w:tc>
      </w:tr>
      <w:tr w:rsidR="00F44E76" w:rsidRPr="006E7C2B" w14:paraId="5CBAD79A" w14:textId="77777777" w:rsidTr="00E93738">
        <w:trPr>
          <w:tblCellSpacing w:w="15" w:type="dxa"/>
          <w:jc w:val="center"/>
        </w:trPr>
        <w:tc>
          <w:tcPr>
            <w:tcW w:w="1390" w:type="dxa"/>
            <w:vAlign w:val="center"/>
            <w:hideMark/>
          </w:tcPr>
          <w:p w14:paraId="70AB5136"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Page 6</w:t>
            </w:r>
          </w:p>
        </w:tc>
        <w:tc>
          <w:tcPr>
            <w:tcW w:w="2130" w:type="dxa"/>
            <w:vAlign w:val="center"/>
            <w:hideMark/>
          </w:tcPr>
          <w:p w14:paraId="775770E3"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“Where did you stay last night?” only</w:t>
            </w:r>
          </w:p>
        </w:tc>
        <w:tc>
          <w:tcPr>
            <w:tcW w:w="0" w:type="auto"/>
            <w:vAlign w:val="center"/>
            <w:hideMark/>
          </w:tcPr>
          <w:p w14:paraId="7092A06F"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Added “Prior Living Situation”</w:t>
            </w:r>
          </w:p>
        </w:tc>
        <w:tc>
          <w:tcPr>
            <w:tcW w:w="0" w:type="auto"/>
            <w:vAlign w:val="center"/>
            <w:hideMark/>
          </w:tcPr>
          <w:p w14:paraId="4421B8C9"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Aligns with HMIS data elements</w:t>
            </w:r>
          </w:p>
        </w:tc>
      </w:tr>
      <w:tr w:rsidR="00F44E76" w:rsidRPr="006E7C2B" w14:paraId="2D322600" w14:textId="77777777" w:rsidTr="00E93738">
        <w:trPr>
          <w:tblCellSpacing w:w="15" w:type="dxa"/>
          <w:jc w:val="center"/>
        </w:trPr>
        <w:tc>
          <w:tcPr>
            <w:tcW w:w="1390" w:type="dxa"/>
            <w:vAlign w:val="center"/>
            <w:hideMark/>
          </w:tcPr>
          <w:p w14:paraId="06EE0DF5"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Page 6</w:t>
            </w:r>
          </w:p>
        </w:tc>
        <w:tc>
          <w:tcPr>
            <w:tcW w:w="2130" w:type="dxa"/>
            <w:vAlign w:val="center"/>
            <w:hideMark/>
          </w:tcPr>
          <w:p w14:paraId="759A2FC4"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Footnotes placement</w:t>
            </w:r>
          </w:p>
        </w:tc>
        <w:tc>
          <w:tcPr>
            <w:tcW w:w="0" w:type="auto"/>
            <w:vAlign w:val="center"/>
            <w:hideMark/>
          </w:tcPr>
          <w:p w14:paraId="37276226"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Moved below “Complete Prioritization Assessment…”</w:t>
            </w:r>
          </w:p>
        </w:tc>
        <w:tc>
          <w:tcPr>
            <w:tcW w:w="0" w:type="auto"/>
            <w:vAlign w:val="center"/>
            <w:hideMark/>
          </w:tcPr>
          <w:p w14:paraId="7CED0DAA"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Improves flow</w:t>
            </w:r>
          </w:p>
        </w:tc>
      </w:tr>
      <w:tr w:rsidR="00F44E76" w:rsidRPr="006E7C2B" w14:paraId="28291674" w14:textId="77777777" w:rsidTr="00E93738">
        <w:trPr>
          <w:tblCellSpacing w:w="15" w:type="dxa"/>
          <w:jc w:val="center"/>
        </w:trPr>
        <w:tc>
          <w:tcPr>
            <w:tcW w:w="1390" w:type="dxa"/>
            <w:vAlign w:val="center"/>
            <w:hideMark/>
          </w:tcPr>
          <w:p w14:paraId="77E88F8F"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Page 8</w:t>
            </w:r>
          </w:p>
        </w:tc>
        <w:tc>
          <w:tcPr>
            <w:tcW w:w="2130" w:type="dxa"/>
            <w:vAlign w:val="center"/>
            <w:hideMark/>
          </w:tcPr>
          <w:p w14:paraId="2FD85EAE"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CE Event section</w:t>
            </w:r>
          </w:p>
        </w:tc>
        <w:tc>
          <w:tcPr>
            <w:tcW w:w="0" w:type="auto"/>
            <w:vAlign w:val="center"/>
            <w:hideMark/>
          </w:tcPr>
          <w:p w14:paraId="1AB50B43"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Added bullet points</w:t>
            </w:r>
          </w:p>
        </w:tc>
        <w:tc>
          <w:tcPr>
            <w:tcW w:w="0" w:type="auto"/>
            <w:vAlign w:val="center"/>
            <w:hideMark/>
          </w:tcPr>
          <w:p w14:paraId="2E7DB8D9" w14:textId="77777777" w:rsidR="006E7C2B" w:rsidRPr="006E7C2B" w:rsidRDefault="006E7C2B" w:rsidP="00215F1D">
            <w:pPr>
              <w:jc w:val="center"/>
              <w:rPr>
                <w:rFonts w:ascii="Cambria Math" w:hAnsi="Cambria Math"/>
                <w:sz w:val="22"/>
                <w:szCs w:val="22"/>
              </w:rPr>
            </w:pPr>
            <w:r w:rsidRPr="006E7C2B">
              <w:rPr>
                <w:rFonts w:ascii="Cambria Math" w:hAnsi="Cambria Math"/>
                <w:sz w:val="22"/>
                <w:szCs w:val="22"/>
              </w:rPr>
              <w:t>Improves organization and readability</w:t>
            </w:r>
          </w:p>
        </w:tc>
      </w:tr>
    </w:tbl>
    <w:p w14:paraId="1526C22C" w14:textId="77777777" w:rsidR="0041136F" w:rsidRDefault="0041136F" w:rsidP="00A201F5">
      <w:pPr>
        <w:rPr>
          <w:rFonts w:ascii="Cambria Math" w:hAnsi="Cambria Math"/>
          <w:b/>
          <w:bCs/>
        </w:rPr>
      </w:pPr>
    </w:p>
    <w:p w14:paraId="16216FC1" w14:textId="2BB335E1" w:rsidR="00A201F5" w:rsidRPr="00A201F5" w:rsidRDefault="00A201F5" w:rsidP="00A201F5">
      <w:pPr>
        <w:rPr>
          <w:rFonts w:ascii="Cambria Math" w:hAnsi="Cambria Math"/>
          <w:b/>
          <w:bCs/>
        </w:rPr>
      </w:pPr>
      <w:r w:rsidRPr="00A201F5">
        <w:rPr>
          <w:rFonts w:ascii="Cambria Math" w:hAnsi="Cambria Math"/>
          <w:b/>
          <w:bCs/>
        </w:rPr>
        <w:t>Formatting Notes</w:t>
      </w:r>
    </w:p>
    <w:p w14:paraId="1BC8FFEE" w14:textId="77777777" w:rsidR="00A201F5" w:rsidRPr="00A201F5" w:rsidRDefault="00A201F5" w:rsidP="00081641">
      <w:pPr>
        <w:numPr>
          <w:ilvl w:val="0"/>
          <w:numId w:val="4"/>
        </w:numPr>
        <w:spacing w:after="0"/>
        <w:rPr>
          <w:rFonts w:ascii="Cambria Math" w:hAnsi="Cambria Math"/>
        </w:rPr>
      </w:pPr>
      <w:r w:rsidRPr="00A201F5">
        <w:rPr>
          <w:rFonts w:ascii="Cambria Math" w:hAnsi="Cambria Math"/>
          <w:b/>
          <w:bCs/>
        </w:rPr>
        <w:t>Font:</w:t>
      </w:r>
      <w:r w:rsidRPr="00A201F5">
        <w:rPr>
          <w:rFonts w:ascii="Cambria Math" w:hAnsi="Cambria Math"/>
        </w:rPr>
        <w:t xml:space="preserve"> Cambria Math, 11 pt (most text)</w:t>
      </w:r>
    </w:p>
    <w:p w14:paraId="090F0583" w14:textId="7991F81C" w:rsidR="00A201F5" w:rsidRPr="00A201F5" w:rsidRDefault="00A201F5" w:rsidP="00081641">
      <w:pPr>
        <w:numPr>
          <w:ilvl w:val="0"/>
          <w:numId w:val="4"/>
        </w:numPr>
        <w:spacing w:after="0"/>
        <w:rPr>
          <w:rFonts w:ascii="Cambria Math" w:hAnsi="Cambria Math"/>
        </w:rPr>
      </w:pPr>
      <w:r w:rsidRPr="00A201F5">
        <w:rPr>
          <w:rFonts w:ascii="Cambria Math" w:hAnsi="Cambria Math"/>
          <w:b/>
          <w:bCs/>
        </w:rPr>
        <w:t>Tables:</w:t>
      </w:r>
      <w:r w:rsidRPr="00A201F5">
        <w:rPr>
          <w:rFonts w:ascii="Cambria Math" w:hAnsi="Cambria Math"/>
        </w:rPr>
        <w:t xml:space="preserve"> Used (no borders) for Income, CLS, PLS, Housing Expenses, CE Assessment sections</w:t>
      </w:r>
    </w:p>
    <w:p w14:paraId="205320F9" w14:textId="77777777" w:rsidR="00A201F5" w:rsidRPr="00A201F5" w:rsidRDefault="00A201F5" w:rsidP="00081641">
      <w:pPr>
        <w:numPr>
          <w:ilvl w:val="0"/>
          <w:numId w:val="4"/>
        </w:numPr>
        <w:spacing w:after="0"/>
        <w:rPr>
          <w:rFonts w:ascii="Cambria Math" w:hAnsi="Cambria Math"/>
        </w:rPr>
      </w:pPr>
      <w:r w:rsidRPr="00A201F5">
        <w:rPr>
          <w:rFonts w:ascii="Cambria Math" w:hAnsi="Cambria Math"/>
          <w:b/>
          <w:bCs/>
        </w:rPr>
        <w:t>Margins:</w:t>
      </w:r>
      <w:r w:rsidRPr="00A201F5">
        <w:rPr>
          <w:rFonts w:ascii="Cambria Math" w:hAnsi="Cambria Math"/>
        </w:rPr>
        <w:t xml:space="preserve"> Narrow</w:t>
      </w:r>
    </w:p>
    <w:sectPr w:rsidR="00A201F5" w:rsidRPr="00A2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DCC"/>
    <w:multiLevelType w:val="hybridMultilevel"/>
    <w:tmpl w:val="CC9AE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C3448"/>
    <w:multiLevelType w:val="hybridMultilevel"/>
    <w:tmpl w:val="E336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6784A"/>
    <w:multiLevelType w:val="multilevel"/>
    <w:tmpl w:val="F95A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851B1"/>
    <w:multiLevelType w:val="hybridMultilevel"/>
    <w:tmpl w:val="9310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594825">
    <w:abstractNumId w:val="0"/>
  </w:num>
  <w:num w:numId="2" w16cid:durableId="1484391405">
    <w:abstractNumId w:val="3"/>
  </w:num>
  <w:num w:numId="3" w16cid:durableId="414520625">
    <w:abstractNumId w:val="1"/>
  </w:num>
  <w:num w:numId="4" w16cid:durableId="1275553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AB"/>
    <w:rsid w:val="000617A6"/>
    <w:rsid w:val="00081641"/>
    <w:rsid w:val="000A568A"/>
    <w:rsid w:val="000D3893"/>
    <w:rsid w:val="000E77D9"/>
    <w:rsid w:val="0019259B"/>
    <w:rsid w:val="00215F1D"/>
    <w:rsid w:val="00341000"/>
    <w:rsid w:val="00381273"/>
    <w:rsid w:val="0041136F"/>
    <w:rsid w:val="004300C1"/>
    <w:rsid w:val="004559AB"/>
    <w:rsid w:val="004D1281"/>
    <w:rsid w:val="004D2A35"/>
    <w:rsid w:val="00582104"/>
    <w:rsid w:val="00622B85"/>
    <w:rsid w:val="0065172B"/>
    <w:rsid w:val="00673098"/>
    <w:rsid w:val="00693774"/>
    <w:rsid w:val="006E7C2B"/>
    <w:rsid w:val="00743950"/>
    <w:rsid w:val="008519F4"/>
    <w:rsid w:val="00905A8D"/>
    <w:rsid w:val="00A17073"/>
    <w:rsid w:val="00A201F5"/>
    <w:rsid w:val="00A90135"/>
    <w:rsid w:val="00B16065"/>
    <w:rsid w:val="00BE3434"/>
    <w:rsid w:val="00CF3EB7"/>
    <w:rsid w:val="00D86B10"/>
    <w:rsid w:val="00D971CB"/>
    <w:rsid w:val="00DE4F00"/>
    <w:rsid w:val="00E30E1F"/>
    <w:rsid w:val="00E93738"/>
    <w:rsid w:val="00F44E76"/>
    <w:rsid w:val="00FF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F67A"/>
  <w15:chartTrackingRefBased/>
  <w15:docId w15:val="{D69B0834-680A-41E5-B1D9-6F1D38E0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9AB"/>
    <w:rPr>
      <w:rFonts w:eastAsiaTheme="majorEastAsia" w:cstheme="majorBidi"/>
      <w:color w:val="272727" w:themeColor="text1" w:themeTint="D8"/>
    </w:rPr>
  </w:style>
  <w:style w:type="paragraph" w:styleId="Title">
    <w:name w:val="Title"/>
    <w:basedOn w:val="Normal"/>
    <w:next w:val="Normal"/>
    <w:link w:val="TitleChar"/>
    <w:uiPriority w:val="10"/>
    <w:qFormat/>
    <w:rsid w:val="00455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9AB"/>
    <w:pPr>
      <w:spacing w:before="160"/>
      <w:jc w:val="center"/>
    </w:pPr>
    <w:rPr>
      <w:i/>
      <w:iCs/>
      <w:color w:val="404040" w:themeColor="text1" w:themeTint="BF"/>
    </w:rPr>
  </w:style>
  <w:style w:type="character" w:customStyle="1" w:styleId="QuoteChar">
    <w:name w:val="Quote Char"/>
    <w:basedOn w:val="DefaultParagraphFont"/>
    <w:link w:val="Quote"/>
    <w:uiPriority w:val="29"/>
    <w:rsid w:val="004559AB"/>
    <w:rPr>
      <w:i/>
      <w:iCs/>
      <w:color w:val="404040" w:themeColor="text1" w:themeTint="BF"/>
    </w:rPr>
  </w:style>
  <w:style w:type="paragraph" w:styleId="ListParagraph">
    <w:name w:val="List Paragraph"/>
    <w:basedOn w:val="Normal"/>
    <w:uiPriority w:val="34"/>
    <w:qFormat/>
    <w:rsid w:val="004559AB"/>
    <w:pPr>
      <w:ind w:left="720"/>
      <w:contextualSpacing/>
    </w:pPr>
  </w:style>
  <w:style w:type="character" w:styleId="IntenseEmphasis">
    <w:name w:val="Intense Emphasis"/>
    <w:basedOn w:val="DefaultParagraphFont"/>
    <w:uiPriority w:val="21"/>
    <w:qFormat/>
    <w:rsid w:val="004559AB"/>
    <w:rPr>
      <w:i/>
      <w:iCs/>
      <w:color w:val="0F4761" w:themeColor="accent1" w:themeShade="BF"/>
    </w:rPr>
  </w:style>
  <w:style w:type="paragraph" w:styleId="IntenseQuote">
    <w:name w:val="Intense Quote"/>
    <w:basedOn w:val="Normal"/>
    <w:next w:val="Normal"/>
    <w:link w:val="IntenseQuoteChar"/>
    <w:uiPriority w:val="30"/>
    <w:qFormat/>
    <w:rsid w:val="00455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9AB"/>
    <w:rPr>
      <w:i/>
      <w:iCs/>
      <w:color w:val="0F4761" w:themeColor="accent1" w:themeShade="BF"/>
    </w:rPr>
  </w:style>
  <w:style w:type="character" w:styleId="IntenseReference">
    <w:name w:val="Intense Reference"/>
    <w:basedOn w:val="DefaultParagraphFont"/>
    <w:uiPriority w:val="32"/>
    <w:qFormat/>
    <w:rsid w:val="00455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2E921-713A-4121-8897-325E455B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287</Words>
  <Characters>1708</Characters>
  <Application>Microsoft Office Word</Application>
  <DocSecurity>0</DocSecurity>
  <Lines>47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 Delacruz-Lysell</dc:creator>
  <cp:keywords/>
  <dc:description/>
  <cp:lastModifiedBy>Belle Delacruz-Lysell</cp:lastModifiedBy>
  <cp:revision>27</cp:revision>
  <dcterms:created xsi:type="dcterms:W3CDTF">2025-10-21T19:27:00Z</dcterms:created>
  <dcterms:modified xsi:type="dcterms:W3CDTF">2025-10-22T14:42:00Z</dcterms:modified>
</cp:coreProperties>
</file>